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82"/>
      </w:tblGrid>
      <w:tr w:rsidR="004F125C" w:rsidRPr="002E2BF9" w14:paraId="0C47C1D3" w14:textId="77777777">
        <w:trPr>
          <w:cantSplit/>
          <w:jc w:val="center"/>
        </w:trPr>
        <w:tc>
          <w:tcPr>
            <w:tcW w:w="11282" w:type="dxa"/>
            <w:shd w:val="clear" w:color="auto" w:fill="ED1745"/>
            <w:tcMar>
              <w:top w:w="45" w:type="dxa"/>
              <w:left w:w="130" w:type="dxa"/>
              <w:bottom w:w="45" w:type="dxa"/>
              <w:right w:w="100" w:type="dxa"/>
            </w:tcMar>
          </w:tcPr>
          <w:p w14:paraId="13D5CDE0" w14:textId="77777777" w:rsidR="004F125C" w:rsidRPr="002E2BF9" w:rsidRDefault="00000000">
            <w:pPr>
              <w:spacing w:after="0" w:line="240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color w:val="FFFFFF"/>
                <w:lang w:val="pt-PT"/>
              </w:rPr>
              <w:t>ALERT - ABERTURA I&amp;D EMPRESARIAL | PROJETOS DEMONSTRADORES</w:t>
            </w:r>
          </w:p>
        </w:tc>
      </w:tr>
    </w:tbl>
    <w:p w14:paraId="37E37F04" w14:textId="77777777" w:rsidR="004F125C" w:rsidRPr="002E2BF9" w:rsidRDefault="004F125C">
      <w:pPr>
        <w:spacing w:after="40" w:line="240" w:lineRule="auto"/>
        <w:rPr>
          <w:rFonts w:ascii="Trebuchet MS" w:hAnsi="Trebuchet MS"/>
          <w:lang w:val="pt-PT"/>
        </w:rPr>
      </w:pPr>
    </w:p>
    <w:p w14:paraId="2D8C7B3F" w14:textId="77777777" w:rsidR="004F125C" w:rsidRPr="002E2BF9" w:rsidRDefault="00000000">
      <w:pPr>
        <w:spacing w:before="20" w:after="8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b/>
          <w:sz w:val="20"/>
          <w:lang w:val="pt-PT"/>
        </w:rPr>
        <w:t>Abriu o Aviso I&amp;D Empresarial - Demonstradores 2026</w:t>
      </w:r>
      <w:r w:rsidRPr="002E2BF9">
        <w:rPr>
          <w:rFonts w:ascii="Trebuchet MS" w:hAnsi="Trebuchet MS"/>
          <w:sz w:val="20"/>
          <w:lang w:val="pt-PT"/>
        </w:rPr>
        <w:t xml:space="preserve">  |  Candidaturas até 29 de dezembro  </w:t>
      </w:r>
      <w:r w:rsidRPr="002E2BF9">
        <w:rPr>
          <w:rFonts w:ascii="Trebuchet MS" w:hAnsi="Trebuchet MS"/>
          <w:b/>
          <w:sz w:val="20"/>
          <w:lang w:val="pt-PT"/>
        </w:rPr>
        <w:t>|  Apoios até 80%</w:t>
      </w:r>
    </w:p>
    <w:p w14:paraId="0160DB9C" w14:textId="77777777" w:rsidR="004F125C" w:rsidRPr="002E2BF9" w:rsidRDefault="00000000">
      <w:pPr>
        <w:spacing w:after="60" w:line="252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lang w:val="pt-PT"/>
        </w:rPr>
        <w:t>Estão abertas as candidaturas ao Aviso MPr-2026-07, dirigido a empresas que concluíram com sucesso atividades de I&amp;D e pretendem validar industrialmente novas tecnologias, demonstrando as suas vantagens técnicas e económicas perante um público especializado e em condições reais.</w:t>
      </w:r>
    </w:p>
    <w:p w14:paraId="7BD59A3A" w14:textId="77777777" w:rsidR="004F125C" w:rsidRPr="002E2BF9" w:rsidRDefault="00000000">
      <w:pPr>
        <w:spacing w:after="80" w:line="252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lang w:val="pt-PT"/>
        </w:rPr>
        <w:t>O apoio abrange projetos individuais e em copromoção, incluindo tecnologias avançadas, linhas-piloto e, quando aplicável, projetos de investigação clínica/biomédica com ensaios de Fase I e/ou II.</w:t>
      </w:r>
    </w:p>
    <w:p w14:paraId="4C8AA9DE" w14:textId="77777777" w:rsidR="004F125C" w:rsidRPr="002E2BF9" w:rsidRDefault="00000000">
      <w:pPr>
        <w:spacing w:after="6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b/>
          <w:sz w:val="18"/>
          <w:lang w:val="pt-PT"/>
        </w:rPr>
        <w:t>Taxas de apoio até 80% a fundo perdido</w:t>
      </w:r>
    </w:p>
    <w:tbl>
      <w:tblPr>
        <w:tblW w:w="10134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2834"/>
        <w:gridCol w:w="2102"/>
        <w:gridCol w:w="5198"/>
      </w:tblGrid>
      <w:tr w:rsidR="004F125C" w:rsidRPr="002E2BF9" w14:paraId="47735CBF" w14:textId="77777777" w:rsidTr="0098627A">
        <w:trPr>
          <w:cantSplit/>
          <w:trHeight w:val="132"/>
          <w:tblHeader/>
        </w:trPr>
        <w:tc>
          <w:tcPr>
            <w:tcW w:w="2834" w:type="dxa"/>
            <w:shd w:val="clear" w:color="auto" w:fill="ED1743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7EA38655" w14:textId="77777777" w:rsidR="004F125C" w:rsidRPr="002E2BF9" w:rsidRDefault="00000000" w:rsidP="0098627A">
            <w:pPr>
              <w:spacing w:after="0" w:line="240" w:lineRule="auto"/>
              <w:jc w:val="center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color w:val="FFFFFF"/>
                <w:sz w:val="15"/>
                <w:lang w:val="pt-PT"/>
              </w:rPr>
              <w:t>Atividade</w:t>
            </w:r>
          </w:p>
        </w:tc>
        <w:tc>
          <w:tcPr>
            <w:tcW w:w="2102" w:type="dxa"/>
            <w:shd w:val="clear" w:color="auto" w:fill="ED1743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62655F2A" w14:textId="77777777" w:rsidR="004F125C" w:rsidRPr="002E2BF9" w:rsidRDefault="00000000" w:rsidP="0098627A">
            <w:pPr>
              <w:spacing w:after="0" w:line="240" w:lineRule="auto"/>
              <w:jc w:val="center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color w:val="FFFFFF"/>
                <w:sz w:val="15"/>
                <w:lang w:val="pt-PT"/>
              </w:rPr>
              <w:t>Taxa base</w:t>
            </w:r>
          </w:p>
        </w:tc>
        <w:tc>
          <w:tcPr>
            <w:tcW w:w="5198" w:type="dxa"/>
            <w:shd w:val="clear" w:color="auto" w:fill="ED1743"/>
            <w:tcMar>
              <w:top w:w="65" w:type="dxa"/>
              <w:left w:w="70" w:type="dxa"/>
              <w:bottom w:w="65" w:type="dxa"/>
              <w:right w:w="70" w:type="dxa"/>
            </w:tcMar>
            <w:vAlign w:val="center"/>
          </w:tcPr>
          <w:p w14:paraId="6600CADD" w14:textId="1330FB2A" w:rsidR="004F125C" w:rsidRPr="002E2BF9" w:rsidRDefault="00000000" w:rsidP="0098627A">
            <w:pPr>
              <w:spacing w:after="0" w:line="240" w:lineRule="auto"/>
              <w:jc w:val="center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color w:val="FFFFFF"/>
                <w:sz w:val="15"/>
                <w:lang w:val="pt-PT"/>
              </w:rPr>
              <w:t>Majorações e taxa máxima</w:t>
            </w:r>
          </w:p>
        </w:tc>
      </w:tr>
      <w:tr w:rsidR="004F125C" w:rsidRPr="002E2BF9" w14:paraId="1AC134BE" w14:textId="77777777" w:rsidTr="0098627A">
        <w:trPr>
          <w:cantSplit/>
          <w:trHeight w:val="375"/>
        </w:trPr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7E7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FB9EAC6" w14:textId="77777777" w:rsidR="004F125C" w:rsidRPr="002E2BF9" w:rsidRDefault="00000000" w:rsidP="0098627A">
            <w:pPr>
              <w:spacing w:after="0" w:line="240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sz w:val="15"/>
                <w:lang w:val="pt-PT"/>
              </w:rPr>
              <w:t>Investigação industrial</w:t>
            </w:r>
          </w:p>
        </w:tc>
        <w:tc>
          <w:tcPr>
            <w:tcW w:w="2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7E7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A706A2D" w14:textId="77777777" w:rsidR="004F125C" w:rsidRPr="002E2BF9" w:rsidRDefault="00000000" w:rsidP="0098627A">
            <w:pPr>
              <w:spacing w:after="0" w:line="240" w:lineRule="auto"/>
              <w:jc w:val="center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sz w:val="15"/>
                <w:lang w:val="pt-PT"/>
              </w:rPr>
              <w:t>Até 50%</w:t>
            </w:r>
          </w:p>
        </w:tc>
        <w:tc>
          <w:tcPr>
            <w:tcW w:w="51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7E7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5A5F553" w14:textId="77777777" w:rsidR="004F125C" w:rsidRPr="002E2BF9" w:rsidRDefault="00000000" w:rsidP="0098627A">
            <w:pPr>
              <w:spacing w:after="0" w:line="240" w:lineRule="auto"/>
              <w:jc w:val="center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sz w:val="15"/>
                <w:lang w:val="pt-PT"/>
              </w:rPr>
              <w:t>+20 p.p. para micro e pequenas empresas; +10 p.p. para médias empresas; até +15 p.p. por colaboração/divulgação OU localização. Taxa máxima: 80%*</w:t>
            </w:r>
          </w:p>
        </w:tc>
      </w:tr>
      <w:tr w:rsidR="004F125C" w:rsidRPr="002E2BF9" w14:paraId="3B74E8F9" w14:textId="77777777" w:rsidTr="0098627A">
        <w:trPr>
          <w:cantSplit/>
          <w:trHeight w:val="375"/>
        </w:trPr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7E7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1110A5C" w14:textId="77777777" w:rsidR="004F125C" w:rsidRPr="002E2BF9" w:rsidRDefault="00000000" w:rsidP="0098627A">
            <w:pPr>
              <w:spacing w:after="0" w:line="240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sz w:val="15"/>
                <w:lang w:val="pt-PT"/>
              </w:rPr>
              <w:t>Desenvolvimento experimental</w:t>
            </w:r>
          </w:p>
        </w:tc>
        <w:tc>
          <w:tcPr>
            <w:tcW w:w="2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7E7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5C71AC8" w14:textId="77777777" w:rsidR="004F125C" w:rsidRPr="002E2BF9" w:rsidRDefault="00000000" w:rsidP="0098627A">
            <w:pPr>
              <w:spacing w:after="0" w:line="240" w:lineRule="auto"/>
              <w:jc w:val="center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sz w:val="15"/>
                <w:lang w:val="pt-PT"/>
              </w:rPr>
              <w:t>Até 25%</w:t>
            </w:r>
          </w:p>
        </w:tc>
        <w:tc>
          <w:tcPr>
            <w:tcW w:w="51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EAE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25B1657" w14:textId="77777777" w:rsidR="004F125C" w:rsidRPr="002E2BF9" w:rsidRDefault="004F125C" w:rsidP="0098627A">
            <w:pPr>
              <w:spacing w:after="0" w:line="240" w:lineRule="auto"/>
              <w:rPr>
                <w:rFonts w:ascii="Trebuchet MS" w:hAnsi="Trebuchet MS"/>
                <w:lang w:val="pt-PT"/>
              </w:rPr>
            </w:pPr>
          </w:p>
        </w:tc>
      </w:tr>
    </w:tbl>
    <w:p w14:paraId="0F1A5920" w14:textId="77777777" w:rsidR="004F125C" w:rsidRPr="002E2BF9" w:rsidRDefault="00000000">
      <w:pPr>
        <w:spacing w:before="20" w:after="8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i/>
          <w:sz w:val="14"/>
          <w:lang w:val="pt-PT"/>
        </w:rPr>
        <w:t>* Limite de 40% para investimentos na NUTS II Lisboa. As ENESII podem beneficiar de uma taxa até 85% (40% em Lisboa). As majorações por colaboração/divulgação e por localização não são cumulativas.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41"/>
        <w:gridCol w:w="5641"/>
      </w:tblGrid>
      <w:tr w:rsidR="004F125C" w:rsidRPr="002E2BF9" w14:paraId="081CF0AE" w14:textId="77777777" w:rsidTr="00761D2A">
        <w:trPr>
          <w:cantSplit/>
          <w:trHeight w:val="438"/>
        </w:trPr>
        <w:tc>
          <w:tcPr>
            <w:tcW w:w="5641" w:type="dxa"/>
            <w:tcMar>
              <w:top w:w="0" w:type="dxa"/>
              <w:left w:w="0" w:type="dxa"/>
              <w:bottom w:w="0" w:type="dxa"/>
              <w:right w:w="140" w:type="dxa"/>
            </w:tcMar>
          </w:tcPr>
          <w:p w14:paraId="00D9CABD" w14:textId="77777777" w:rsidR="004F125C" w:rsidRPr="002E2BF9" w:rsidRDefault="00000000">
            <w:pPr>
              <w:spacing w:after="40" w:line="240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sz w:val="18"/>
                <w:lang w:val="pt-PT"/>
              </w:rPr>
              <w:t>Quem se pode candidatar?</w:t>
            </w:r>
          </w:p>
          <w:p w14:paraId="3E436B49" w14:textId="77777777" w:rsidR="004F125C" w:rsidRPr="002E2BF9" w:rsidRDefault="00000000" w:rsidP="00761D2A">
            <w:pPr>
              <w:pStyle w:val="Listacommarcas"/>
              <w:numPr>
                <w:ilvl w:val="0"/>
                <w:numId w:val="10"/>
              </w:numPr>
              <w:spacing w:after="34" w:line="228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lang w:val="pt-PT"/>
              </w:rPr>
              <w:t>PME e Small Mid Caps, em projetos individuais ou em copromoção.</w:t>
            </w:r>
          </w:p>
          <w:p w14:paraId="3B7792F5" w14:textId="77777777" w:rsidR="004F125C" w:rsidRPr="002E2BF9" w:rsidRDefault="00000000" w:rsidP="00761D2A">
            <w:pPr>
              <w:pStyle w:val="Listacommarcas"/>
              <w:numPr>
                <w:ilvl w:val="0"/>
                <w:numId w:val="10"/>
              </w:numPr>
              <w:spacing w:after="34" w:line="228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lang w:val="pt-PT"/>
              </w:rPr>
              <w:t>ENESII, como copromotoras em projetos de copromoção.</w:t>
            </w:r>
          </w:p>
          <w:p w14:paraId="754D9239" w14:textId="77777777" w:rsidR="004F125C" w:rsidRPr="002E2BF9" w:rsidRDefault="00000000" w:rsidP="00761D2A">
            <w:pPr>
              <w:pStyle w:val="Listacommarcas"/>
              <w:numPr>
                <w:ilvl w:val="0"/>
                <w:numId w:val="10"/>
              </w:numPr>
              <w:spacing w:after="34" w:line="228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lang w:val="pt-PT"/>
              </w:rPr>
              <w:t>É permitida apenas uma candidatura por empresa, como líder ou copromotor.</w:t>
            </w:r>
          </w:p>
        </w:tc>
        <w:tc>
          <w:tcPr>
            <w:tcW w:w="5641" w:type="dxa"/>
            <w:tcMar>
              <w:top w:w="0" w:type="dxa"/>
              <w:left w:w="0" w:type="dxa"/>
              <w:bottom w:w="0" w:type="dxa"/>
              <w:right w:w="140" w:type="dxa"/>
            </w:tcMar>
          </w:tcPr>
          <w:p w14:paraId="3BEF9103" w14:textId="77777777" w:rsidR="004F125C" w:rsidRPr="002E2BF9" w:rsidRDefault="00000000">
            <w:pPr>
              <w:spacing w:after="40" w:line="240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b/>
                <w:sz w:val="18"/>
                <w:lang w:val="pt-PT"/>
              </w:rPr>
              <w:t>Principais condições dos projetos</w:t>
            </w:r>
          </w:p>
          <w:p w14:paraId="709B071D" w14:textId="77777777" w:rsidR="004F125C" w:rsidRPr="002E2BF9" w:rsidRDefault="00000000" w:rsidP="00761D2A">
            <w:pPr>
              <w:pStyle w:val="Listacommarcas"/>
              <w:numPr>
                <w:ilvl w:val="0"/>
                <w:numId w:val="11"/>
              </w:numPr>
              <w:spacing w:after="34" w:line="228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lang w:val="pt-PT"/>
              </w:rPr>
              <w:t>Demonstração pública, em situação real, de produtos, processos ou serviços resultantes de I&amp;D.</w:t>
            </w:r>
          </w:p>
          <w:p w14:paraId="066CDA60" w14:textId="77777777" w:rsidR="004F125C" w:rsidRPr="002E2BF9" w:rsidRDefault="00000000" w:rsidP="00761D2A">
            <w:pPr>
              <w:pStyle w:val="Listacommarcas"/>
              <w:numPr>
                <w:ilvl w:val="0"/>
                <w:numId w:val="11"/>
              </w:numPr>
              <w:spacing w:after="34" w:line="228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lang w:val="pt-PT"/>
              </w:rPr>
              <w:t>Operações com duração máxima de 18 meses e investimento elegível mínimo de 200.000 €.</w:t>
            </w:r>
          </w:p>
          <w:p w14:paraId="19024BA6" w14:textId="77777777" w:rsidR="004F125C" w:rsidRPr="002E2BF9" w:rsidRDefault="00000000" w:rsidP="00761D2A">
            <w:pPr>
              <w:pStyle w:val="Listacommarcas"/>
              <w:numPr>
                <w:ilvl w:val="0"/>
                <w:numId w:val="11"/>
              </w:numPr>
              <w:spacing w:after="34" w:line="228" w:lineRule="auto"/>
              <w:rPr>
                <w:rFonts w:ascii="Trebuchet MS" w:hAnsi="Trebuchet MS"/>
                <w:lang w:val="pt-PT"/>
              </w:rPr>
            </w:pPr>
            <w:r w:rsidRPr="002E2BF9">
              <w:rPr>
                <w:rFonts w:ascii="Trebuchet MS" w:hAnsi="Trebuchet MS"/>
                <w:lang w:val="pt-PT"/>
              </w:rPr>
              <w:t>As atividades de Investigação Industrial não podem exceder 25% do investimento total proposto.</w:t>
            </w:r>
          </w:p>
        </w:tc>
      </w:tr>
    </w:tbl>
    <w:p w14:paraId="594A00BA" w14:textId="77777777" w:rsidR="004F125C" w:rsidRPr="002E2BF9" w:rsidRDefault="00000000">
      <w:pPr>
        <w:spacing w:before="40" w:after="4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b/>
          <w:sz w:val="18"/>
          <w:lang w:val="pt-PT"/>
        </w:rPr>
        <w:t>Que despesas podem ser elegíveis?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41"/>
        <w:gridCol w:w="5641"/>
      </w:tblGrid>
      <w:tr w:rsidR="004F125C" w:rsidRPr="002E2BF9" w14:paraId="44515052" w14:textId="77777777">
        <w:trPr>
          <w:cantSplit/>
        </w:trPr>
        <w:tc>
          <w:tcPr>
            <w:tcW w:w="5641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070ABE49" w14:textId="3AA141F3" w:rsidR="004F125C" w:rsidRPr="002E2BF9" w:rsidRDefault="00000000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Pessoal técnico</w:t>
            </w:r>
            <w:r w:rsidR="00D32CBA" w:rsidRPr="002E2BF9">
              <w:rPr>
                <w:lang w:val="pt-PT"/>
              </w:rPr>
              <w:t xml:space="preserve"> </w:t>
            </w:r>
            <w:r w:rsidRPr="002E2BF9">
              <w:rPr>
                <w:lang w:val="pt-PT"/>
              </w:rPr>
              <w:t>afeto a atividades de I&amp;D</w:t>
            </w:r>
          </w:p>
          <w:p w14:paraId="3AE52DC5" w14:textId="77777777" w:rsidR="00761D2A" w:rsidRPr="002E2BF9" w:rsidRDefault="00000000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Matérias-primas, consumíveis</w:t>
            </w:r>
          </w:p>
          <w:p w14:paraId="42329A69" w14:textId="19A0DF3D" w:rsidR="004F125C" w:rsidRPr="002E2BF9" w:rsidRDefault="00761D2A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C</w:t>
            </w:r>
            <w:r w:rsidR="00000000" w:rsidRPr="002E2BF9">
              <w:rPr>
                <w:lang w:val="pt-PT"/>
              </w:rPr>
              <w:t>omponentes para instalações-piloto e protótipos</w:t>
            </w:r>
          </w:p>
          <w:p w14:paraId="2A5A8836" w14:textId="77777777" w:rsidR="004F125C" w:rsidRPr="002E2BF9" w:rsidRDefault="00000000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Serviços de assistência técnica, científica e consultoria</w:t>
            </w:r>
          </w:p>
          <w:p w14:paraId="6E283FD4" w14:textId="77777777" w:rsidR="004F125C" w:rsidRPr="002E2BF9" w:rsidRDefault="00000000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Instrumentos, equipamento técnico-científico e software específico</w:t>
            </w:r>
          </w:p>
        </w:tc>
        <w:tc>
          <w:tcPr>
            <w:tcW w:w="5641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5183B205" w14:textId="141CDB45" w:rsidR="004F125C" w:rsidRPr="002E2BF9" w:rsidRDefault="004F125C" w:rsidP="00145D71">
            <w:pPr>
              <w:pStyle w:val="Listacommarcas"/>
              <w:numPr>
                <w:ilvl w:val="0"/>
                <w:numId w:val="0"/>
              </w:numPr>
              <w:spacing w:after="34" w:line="228" w:lineRule="auto"/>
              <w:ind w:left="198"/>
              <w:rPr>
                <w:rFonts w:ascii="Trebuchet MS" w:hAnsi="Trebuchet MS"/>
                <w:lang w:val="pt-PT"/>
              </w:rPr>
            </w:pPr>
          </w:p>
        </w:tc>
      </w:tr>
      <w:tr w:rsidR="00145D71" w:rsidRPr="002E2BF9" w14:paraId="341FD403" w14:textId="77777777">
        <w:trPr>
          <w:cantSplit/>
        </w:trPr>
        <w:tc>
          <w:tcPr>
            <w:tcW w:w="5641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590D289A" w14:textId="77777777" w:rsidR="00145D71" w:rsidRPr="002E2BF9" w:rsidRDefault="00145D71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Patentes, modelos de utilidade, desenhos ou modelos</w:t>
            </w:r>
          </w:p>
          <w:p w14:paraId="68DB8571" w14:textId="210CDC31" w:rsidR="00145D71" w:rsidRPr="002E2BF9" w:rsidRDefault="00145D71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Promoção e divulgação dos resultados; viagens e estadas</w:t>
            </w:r>
          </w:p>
          <w:p w14:paraId="489B36A9" w14:textId="77777777" w:rsidR="00145D71" w:rsidRPr="002E2BF9" w:rsidRDefault="00145D71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Adaptação de edifícios e instalações; transporte, seguros, montagens e desmontagens</w:t>
            </w:r>
          </w:p>
          <w:p w14:paraId="050392E4" w14:textId="77777777" w:rsidR="002E2BF9" w:rsidRDefault="00145D71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 w:rsidRPr="002E2BF9">
              <w:rPr>
                <w:lang w:val="pt-PT"/>
              </w:rPr>
              <w:t>Certificação NP 4457:2021</w:t>
            </w:r>
          </w:p>
          <w:p w14:paraId="308B96EB" w14:textId="0835FBE9" w:rsidR="00145D71" w:rsidRPr="002E2BF9" w:rsidRDefault="002E2BF9" w:rsidP="00145D71">
            <w:pPr>
              <w:pStyle w:val="Listacommarcas"/>
              <w:numPr>
                <w:ilvl w:val="0"/>
                <w:numId w:val="14"/>
              </w:numPr>
              <w:rPr>
                <w:lang w:val="pt-PT"/>
              </w:rPr>
            </w:pPr>
            <w:r>
              <w:rPr>
                <w:lang w:val="pt-PT"/>
              </w:rPr>
              <w:t>I</w:t>
            </w:r>
            <w:r w:rsidR="00145D71" w:rsidRPr="002E2BF9">
              <w:rPr>
                <w:lang w:val="pt-PT"/>
              </w:rPr>
              <w:t>ntervenção de CC/ROC na validação de despesas</w:t>
            </w:r>
          </w:p>
        </w:tc>
        <w:tc>
          <w:tcPr>
            <w:tcW w:w="5641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76299401" w14:textId="77777777" w:rsidR="00145D71" w:rsidRPr="002E2BF9" w:rsidRDefault="00145D71" w:rsidP="00145D71">
            <w:pPr>
              <w:pStyle w:val="Listacommarcas"/>
              <w:numPr>
                <w:ilvl w:val="0"/>
                <w:numId w:val="0"/>
              </w:numPr>
              <w:spacing w:after="34" w:line="228" w:lineRule="auto"/>
              <w:ind w:left="198"/>
              <w:rPr>
                <w:rFonts w:ascii="Trebuchet MS" w:hAnsi="Trebuchet MS"/>
                <w:lang w:val="pt-PT"/>
              </w:rPr>
            </w:pPr>
          </w:p>
        </w:tc>
      </w:tr>
    </w:tbl>
    <w:p w14:paraId="7A04BA52" w14:textId="77777777" w:rsidR="00145D71" w:rsidRPr="002E2BF9" w:rsidRDefault="00145D71">
      <w:pPr>
        <w:spacing w:before="60" w:after="40" w:line="240" w:lineRule="auto"/>
        <w:rPr>
          <w:rFonts w:ascii="Trebuchet MS" w:hAnsi="Trebuchet MS"/>
          <w:b/>
          <w:lang w:val="pt-PT"/>
        </w:rPr>
      </w:pPr>
    </w:p>
    <w:p w14:paraId="7E831FD8" w14:textId="0D91823C" w:rsidR="004F125C" w:rsidRPr="002E2BF9" w:rsidRDefault="00000000">
      <w:pPr>
        <w:spacing w:before="60" w:after="4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b/>
          <w:lang w:val="pt-PT"/>
        </w:rPr>
        <w:t>Candidaturas de 14 de julho a 29 de dezembro de 2026</w:t>
      </w:r>
      <w:r w:rsidR="00145D71" w:rsidRPr="002E2BF9">
        <w:rPr>
          <w:rFonts w:ascii="Trebuchet MS" w:hAnsi="Trebuchet MS"/>
          <w:b/>
          <w:lang w:val="pt-PT"/>
        </w:rPr>
        <w:t xml:space="preserve"> </w:t>
      </w:r>
      <w:r w:rsidRPr="002E2BF9">
        <w:rPr>
          <w:rFonts w:ascii="Trebuchet MS" w:hAnsi="Trebuchet MS"/>
          <w:b/>
          <w:lang w:val="pt-PT"/>
        </w:rPr>
        <w:t>| Dotação global: 12,5 M€</w:t>
      </w:r>
    </w:p>
    <w:p w14:paraId="004BA279" w14:textId="77777777" w:rsidR="00145D71" w:rsidRPr="002E2BF9" w:rsidRDefault="00145D71">
      <w:pPr>
        <w:spacing w:before="40" w:after="40" w:line="240" w:lineRule="auto"/>
        <w:rPr>
          <w:rFonts w:ascii="Trebuchet MS" w:hAnsi="Trebuchet MS"/>
          <w:lang w:val="pt-PT"/>
        </w:rPr>
      </w:pPr>
    </w:p>
    <w:p w14:paraId="07699B4E" w14:textId="0FB3D052" w:rsidR="004F125C" w:rsidRPr="002E2BF9" w:rsidRDefault="00000000">
      <w:pPr>
        <w:spacing w:before="40" w:after="4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lang w:val="pt-PT"/>
        </w:rPr>
        <w:t>Na BDO, ajudamos as empresas a transformar resultados de I&amp;D em projetos de demonstração sólidos, bem estruturados e competitivos.</w:t>
      </w:r>
    </w:p>
    <w:p w14:paraId="7977C04C" w14:textId="77777777" w:rsidR="004F125C" w:rsidRPr="002E2BF9" w:rsidRDefault="00000000">
      <w:pPr>
        <w:spacing w:before="20" w:after="0" w:line="240" w:lineRule="auto"/>
        <w:rPr>
          <w:rFonts w:ascii="Trebuchet MS" w:hAnsi="Trebuchet MS"/>
          <w:lang w:val="pt-PT"/>
        </w:rPr>
      </w:pPr>
      <w:r w:rsidRPr="002E2BF9">
        <w:rPr>
          <w:rFonts w:ascii="Trebuchet MS" w:hAnsi="Trebuchet MS"/>
          <w:lang w:val="pt-PT"/>
        </w:rPr>
        <w:t>Quer perceber se o seu projeto pode ser apoiado?</w:t>
      </w:r>
      <w:r w:rsidRPr="002E2BF9">
        <w:rPr>
          <w:rFonts w:ascii="Trebuchet MS" w:hAnsi="Trebuchet MS"/>
          <w:lang w:val="pt-PT"/>
        </w:rPr>
        <w:br/>
        <w:t xml:space="preserve">Fale com a nossa </w:t>
      </w:r>
      <w:hyperlink r:id="rId8">
        <w:r w:rsidRPr="002E2BF9">
          <w:rPr>
            <w:rFonts w:ascii="Trebuchet MS" w:hAnsi="Trebuchet MS"/>
            <w:color w:val="0563C1"/>
            <w:u w:val="single"/>
            <w:lang w:val="pt-PT"/>
          </w:rPr>
          <w:t>equipa de Incentivos</w:t>
        </w:r>
      </w:hyperlink>
      <w:r w:rsidRPr="002E2BF9">
        <w:rPr>
          <w:rFonts w:ascii="Trebuchet MS" w:hAnsi="Trebuchet MS"/>
          <w:lang w:val="pt-PT"/>
        </w:rPr>
        <w:t>.</w:t>
      </w:r>
    </w:p>
    <w:sectPr w:rsidR="004F125C" w:rsidRPr="002E2BF9" w:rsidSect="00034616">
      <w:footerReference w:type="default" r:id="rId9"/>
      <w:pgSz w:w="11906" w:h="16838"/>
      <w:pgMar w:top="255" w:right="312" w:bottom="312" w:left="312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7918" w14:textId="77777777" w:rsidR="001B2575" w:rsidRDefault="001B2575">
      <w:pPr>
        <w:spacing w:after="0" w:line="240" w:lineRule="auto"/>
      </w:pPr>
      <w:r>
        <w:separator/>
      </w:r>
    </w:p>
  </w:endnote>
  <w:endnote w:type="continuationSeparator" w:id="0">
    <w:p w14:paraId="47CF9D0F" w14:textId="77777777" w:rsidR="001B2575" w:rsidRDefault="001B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246" w14:textId="77777777" w:rsidR="004F125C" w:rsidRDefault="00000000">
    <w:pPr>
      <w:pStyle w:val="Rodap"/>
      <w:jc w:val="right"/>
    </w:pPr>
    <w:r>
      <w:rPr>
        <w:i/>
        <w:color w:val="777777"/>
        <w:sz w:val="13"/>
      </w:rPr>
      <w:t>Fonte: Aviso MPr-2026-07, publicado em 14/07/2026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3E53" w14:textId="77777777" w:rsidR="001B2575" w:rsidRDefault="001B2575">
      <w:pPr>
        <w:spacing w:after="0" w:line="240" w:lineRule="auto"/>
      </w:pPr>
      <w:r>
        <w:separator/>
      </w:r>
    </w:p>
  </w:footnote>
  <w:footnote w:type="continuationSeparator" w:id="0">
    <w:p w14:paraId="54386AEE" w14:textId="77777777" w:rsidR="001B2575" w:rsidRDefault="001B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08F22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0B1BCC"/>
    <w:multiLevelType w:val="hybridMultilevel"/>
    <w:tmpl w:val="49F6ED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4BA9"/>
    <w:multiLevelType w:val="hybridMultilevel"/>
    <w:tmpl w:val="B1DA8664"/>
    <w:lvl w:ilvl="0" w:tplc="081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A9C4AB4"/>
    <w:multiLevelType w:val="hybridMultilevel"/>
    <w:tmpl w:val="5A26B6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3278A"/>
    <w:multiLevelType w:val="hybridMultilevel"/>
    <w:tmpl w:val="266EA50E"/>
    <w:lvl w:ilvl="0" w:tplc="081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764E4E29"/>
    <w:multiLevelType w:val="hybridMultilevel"/>
    <w:tmpl w:val="80FE2A6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289968">
    <w:abstractNumId w:val="8"/>
  </w:num>
  <w:num w:numId="2" w16cid:durableId="2041317362">
    <w:abstractNumId w:val="6"/>
  </w:num>
  <w:num w:numId="3" w16cid:durableId="1028871724">
    <w:abstractNumId w:val="5"/>
  </w:num>
  <w:num w:numId="4" w16cid:durableId="469708055">
    <w:abstractNumId w:val="4"/>
  </w:num>
  <w:num w:numId="5" w16cid:durableId="429666615">
    <w:abstractNumId w:val="7"/>
  </w:num>
  <w:num w:numId="6" w16cid:durableId="898443421">
    <w:abstractNumId w:val="3"/>
  </w:num>
  <w:num w:numId="7" w16cid:durableId="1390573918">
    <w:abstractNumId w:val="2"/>
  </w:num>
  <w:num w:numId="8" w16cid:durableId="1446657822">
    <w:abstractNumId w:val="1"/>
  </w:num>
  <w:num w:numId="9" w16cid:durableId="1018578800">
    <w:abstractNumId w:val="0"/>
  </w:num>
  <w:num w:numId="10" w16cid:durableId="268896055">
    <w:abstractNumId w:val="12"/>
  </w:num>
  <w:num w:numId="11" w16cid:durableId="1220243217">
    <w:abstractNumId w:val="10"/>
  </w:num>
  <w:num w:numId="12" w16cid:durableId="1009984159">
    <w:abstractNumId w:val="11"/>
  </w:num>
  <w:num w:numId="13" w16cid:durableId="766198284">
    <w:abstractNumId w:val="13"/>
  </w:num>
  <w:num w:numId="14" w16cid:durableId="1917126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D71"/>
    <w:rsid w:val="0015074B"/>
    <w:rsid w:val="001B2575"/>
    <w:rsid w:val="001D7EE5"/>
    <w:rsid w:val="0029639D"/>
    <w:rsid w:val="002E2BF9"/>
    <w:rsid w:val="002F24F9"/>
    <w:rsid w:val="00326F90"/>
    <w:rsid w:val="003859ED"/>
    <w:rsid w:val="004C43B6"/>
    <w:rsid w:val="004F125C"/>
    <w:rsid w:val="00761D2A"/>
    <w:rsid w:val="0098627A"/>
    <w:rsid w:val="00AA1D8D"/>
    <w:rsid w:val="00B47730"/>
    <w:rsid w:val="00B77CD4"/>
    <w:rsid w:val="00C44059"/>
    <w:rsid w:val="00CB0664"/>
    <w:rsid w:val="00D32C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FF6F6"/>
  <w14:defaultImageDpi w14:val="300"/>
  <w15:docId w15:val="{3567952F-43CD-4FE2-8A56-FB87A561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414141"/>
      <w:sz w:val="17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o.braga@bdo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Alert - Abertura I&amp;D Empresarial | Projetos Demonstradores 2026</dc:title>
  <dc:subject>Aviso MPr-2026-07</dc:subject>
  <dc:creator>BDO Portugal</dc:creator>
  <cp:keywords>Portugal 2030, I&amp;D Empresarial, Demonstradores, Incentivos</cp:keywords>
  <dc:description>generated by python-docx</dc:description>
  <cp:lastModifiedBy>Catarina Nogueira Rodrigues</cp:lastModifiedBy>
  <cp:revision>11</cp:revision>
  <dcterms:created xsi:type="dcterms:W3CDTF">2026-07-14T15:21:00Z</dcterms:created>
  <dcterms:modified xsi:type="dcterms:W3CDTF">2026-07-14T15:31:00Z</dcterms:modified>
  <cp:category/>
</cp:coreProperties>
</file>